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BB0EE" w14:textId="77777777" w:rsidR="00F03F1A" w:rsidRPr="00F03F1A" w:rsidRDefault="00F03F1A" w:rsidP="00F03F1A">
      <w:pPr>
        <w:jc w:val="center"/>
        <w:rPr>
          <w:b/>
        </w:rPr>
      </w:pPr>
      <w:r w:rsidRPr="00F03F1A">
        <w:rPr>
          <w:b/>
        </w:rPr>
        <w:t>The Department of Religious Studies</w:t>
      </w:r>
      <w:r w:rsidR="00B70224">
        <w:rPr>
          <w:b/>
        </w:rPr>
        <w:t xml:space="preserve"> – Postgraduate Information</w:t>
      </w:r>
    </w:p>
    <w:p w14:paraId="242F68C3" w14:textId="6815EAFE" w:rsidR="003C4403" w:rsidRDefault="00F03F1A" w:rsidP="00F03F1A">
      <w:pPr>
        <w:jc w:val="center"/>
      </w:pPr>
      <w:r w:rsidRPr="00F03F1A">
        <w:rPr>
          <w:noProof/>
        </w:rPr>
        <w:drawing>
          <wp:inline distT="0" distB="0" distL="0" distR="0" wp14:anchorId="6A73D86A" wp14:editId="79424B6C">
            <wp:extent cx="419100" cy="476250"/>
            <wp:effectExtent l="0" t="0" r="0" b="0"/>
            <wp:docPr id="3" name="Picture 1" descr="C:\Documents and Settings\Administrator\My Documents\My Pictures\Rel Studs pic.png"/>
            <wp:cNvGraphicFramePr/>
            <a:graphic xmlns:a="http://schemas.openxmlformats.org/drawingml/2006/main">
              <a:graphicData uri="http://schemas.openxmlformats.org/drawingml/2006/picture">
                <pic:pic xmlns:pic="http://schemas.openxmlformats.org/drawingml/2006/picture">
                  <pic:nvPicPr>
                    <pic:cNvPr id="7" name="Picture 7" descr="C:\Documents and Settings\Administrator\My Documents\My Pictures\Rel Studs pic.png"/>
                    <pic:cNvPicPr>
                      <a:picLocks noChangeAspect="1" noChangeArrowheads="1"/>
                    </pic:cNvPicPr>
                  </pic:nvPicPr>
                  <pic:blipFill>
                    <a:blip r:embed="rId5" cstate="print">
                      <a:extLst>
                        <a:ext uri="{28A0092B-C50C-407E-A947-70E740481C1C}">
                          <a14:useLocalDpi xmlns:a14="http://schemas.microsoft.com/office/drawing/2010/main" val="0"/>
                        </a:ext>
                      </a:extLst>
                    </a:blip>
                    <a:srcRect l="562"/>
                    <a:stretch>
                      <a:fillRect/>
                    </a:stretch>
                  </pic:blipFill>
                  <pic:spPr bwMode="auto">
                    <a:xfrm>
                      <a:off x="0" y="0"/>
                      <a:ext cx="418424" cy="475482"/>
                    </a:xfrm>
                    <a:prstGeom prst="rect">
                      <a:avLst/>
                    </a:prstGeom>
                    <a:noFill/>
                    <a:ln>
                      <a:noFill/>
                    </a:ln>
                  </pic:spPr>
                </pic:pic>
              </a:graphicData>
            </a:graphic>
          </wp:inline>
        </w:drawing>
      </w:r>
    </w:p>
    <w:tbl>
      <w:tblPr>
        <w:tblW w:w="10031"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0" w:type="dxa"/>
          <w:right w:w="0" w:type="dxa"/>
        </w:tblCellMar>
        <w:tblLook w:val="04A0" w:firstRow="1" w:lastRow="0" w:firstColumn="1" w:lastColumn="0" w:noHBand="0" w:noVBand="1"/>
      </w:tblPr>
      <w:tblGrid>
        <w:gridCol w:w="4531"/>
        <w:gridCol w:w="5500"/>
      </w:tblGrid>
      <w:tr w:rsidR="00940E4F" w:rsidRPr="00940E4F" w14:paraId="435BE286" w14:textId="77777777" w:rsidTr="003570EF">
        <w:trPr>
          <w:trHeight w:val="265"/>
          <w:jc w:val="center"/>
        </w:trPr>
        <w:tc>
          <w:tcPr>
            <w:tcW w:w="10031" w:type="dxa"/>
            <w:gridSpan w:val="2"/>
            <w:shd w:val="clear" w:color="auto" w:fill="59AAF2"/>
            <w:tcMar>
              <w:top w:w="72" w:type="dxa"/>
              <w:left w:w="144" w:type="dxa"/>
              <w:bottom w:w="72" w:type="dxa"/>
              <w:right w:w="144" w:type="dxa"/>
            </w:tcMar>
            <w:hideMark/>
          </w:tcPr>
          <w:p w14:paraId="40777F4F" w14:textId="77777777" w:rsidR="00940E4F" w:rsidRPr="00940E4F" w:rsidRDefault="00940E4F" w:rsidP="00940E4F">
            <w:pPr>
              <w:spacing w:after="0"/>
              <w:jc w:val="center"/>
              <w:rPr>
                <w:sz w:val="18"/>
                <w:szCs w:val="16"/>
              </w:rPr>
            </w:pPr>
            <w:r w:rsidRPr="00940E4F">
              <w:rPr>
                <w:b/>
                <w:bCs/>
                <w:sz w:val="18"/>
                <w:szCs w:val="16"/>
              </w:rPr>
              <w:t>SUBMISSION DATES FOR 2021</w:t>
            </w:r>
          </w:p>
        </w:tc>
      </w:tr>
      <w:tr w:rsidR="00940E4F" w:rsidRPr="00940E4F" w14:paraId="4A98D5D9" w14:textId="77777777" w:rsidTr="003570EF">
        <w:trPr>
          <w:trHeight w:val="270"/>
          <w:jc w:val="center"/>
        </w:trPr>
        <w:tc>
          <w:tcPr>
            <w:tcW w:w="4531" w:type="dxa"/>
            <w:tcBorders>
              <w:bottom w:val="single" w:sz="4" w:space="0" w:color="548DD4" w:themeColor="text2" w:themeTint="99"/>
            </w:tcBorders>
            <w:shd w:val="clear" w:color="auto" w:fill="CCD5EA"/>
            <w:tcMar>
              <w:top w:w="72" w:type="dxa"/>
              <w:left w:w="144" w:type="dxa"/>
              <w:bottom w:w="72" w:type="dxa"/>
              <w:right w:w="144" w:type="dxa"/>
            </w:tcMar>
            <w:hideMark/>
          </w:tcPr>
          <w:p w14:paraId="370E0CF1" w14:textId="77777777" w:rsidR="00940E4F" w:rsidRPr="00940E4F" w:rsidRDefault="00940E4F" w:rsidP="00940E4F">
            <w:pPr>
              <w:jc w:val="center"/>
              <w:rPr>
                <w:b/>
                <w:sz w:val="16"/>
                <w:szCs w:val="16"/>
                <w:u w:val="single"/>
              </w:rPr>
            </w:pPr>
            <w:r w:rsidRPr="00940E4F">
              <w:rPr>
                <w:b/>
                <w:sz w:val="16"/>
                <w:szCs w:val="16"/>
                <w:u w:val="single"/>
              </w:rPr>
              <w:t>EVENT</w:t>
            </w:r>
          </w:p>
        </w:tc>
        <w:tc>
          <w:tcPr>
            <w:tcW w:w="5500" w:type="dxa"/>
            <w:tcBorders>
              <w:bottom w:val="single" w:sz="4" w:space="0" w:color="548DD4" w:themeColor="text2" w:themeTint="99"/>
            </w:tcBorders>
            <w:shd w:val="clear" w:color="auto" w:fill="CCD5EA"/>
            <w:tcMar>
              <w:top w:w="72" w:type="dxa"/>
              <w:left w:w="144" w:type="dxa"/>
              <w:bottom w:w="72" w:type="dxa"/>
              <w:right w:w="144" w:type="dxa"/>
            </w:tcMar>
            <w:hideMark/>
          </w:tcPr>
          <w:p w14:paraId="3113405C" w14:textId="77777777" w:rsidR="00940E4F" w:rsidRPr="00940E4F" w:rsidRDefault="00940E4F" w:rsidP="00940E4F">
            <w:pPr>
              <w:spacing w:after="0"/>
              <w:jc w:val="center"/>
              <w:rPr>
                <w:b/>
                <w:sz w:val="18"/>
                <w:szCs w:val="16"/>
                <w:u w:val="single"/>
              </w:rPr>
            </w:pPr>
            <w:r w:rsidRPr="00940E4F">
              <w:rPr>
                <w:b/>
                <w:sz w:val="18"/>
                <w:szCs w:val="16"/>
                <w:u w:val="single"/>
              </w:rPr>
              <w:t>DATE</w:t>
            </w:r>
          </w:p>
        </w:tc>
      </w:tr>
      <w:tr w:rsidR="00940E4F" w:rsidRPr="00940E4F" w14:paraId="6E488BBF" w14:textId="77777777" w:rsidTr="003570EF">
        <w:trPr>
          <w:trHeight w:val="505"/>
          <w:jc w:val="center"/>
        </w:trPr>
        <w:tc>
          <w:tcPr>
            <w:tcW w:w="4531" w:type="dxa"/>
            <w:tcBorders>
              <w:bottom w:val="single" w:sz="4" w:space="0" w:color="548DD4" w:themeColor="text2" w:themeTint="99"/>
            </w:tcBorders>
            <w:shd w:val="clear" w:color="auto" w:fill="CCD5EA"/>
            <w:tcMar>
              <w:top w:w="72" w:type="dxa"/>
              <w:left w:w="144" w:type="dxa"/>
              <w:bottom w:w="72" w:type="dxa"/>
              <w:right w:w="144" w:type="dxa"/>
            </w:tcMar>
            <w:hideMark/>
          </w:tcPr>
          <w:p w14:paraId="6450CA29" w14:textId="77777777" w:rsidR="00940E4F" w:rsidRPr="00940E4F" w:rsidRDefault="00940E4F" w:rsidP="00940E4F">
            <w:pPr>
              <w:rPr>
                <w:i/>
                <w:sz w:val="16"/>
                <w:szCs w:val="16"/>
              </w:rPr>
            </w:pPr>
            <w:r w:rsidRPr="00940E4F">
              <w:rPr>
                <w:b/>
                <w:sz w:val="16"/>
                <w:szCs w:val="16"/>
                <w:u w:val="single"/>
              </w:rPr>
              <w:t>Presentations:</w:t>
            </w:r>
            <w:r w:rsidRPr="00940E4F">
              <w:rPr>
                <w:b/>
                <w:sz w:val="16"/>
                <w:szCs w:val="16"/>
              </w:rPr>
              <w:t xml:space="preserve"> </w:t>
            </w:r>
            <w:r w:rsidRPr="00940E4F">
              <w:rPr>
                <w:i/>
                <w:sz w:val="16"/>
                <w:szCs w:val="16"/>
              </w:rPr>
              <w:t>Postgrad Presentations – all students to present their draft research proposals (Honours and first-year Masters) or chapters of theses (for PhD or second year Masters)</w:t>
            </w:r>
          </w:p>
          <w:p w14:paraId="0A68690E" w14:textId="77777777" w:rsidR="00940E4F" w:rsidRPr="00940E4F" w:rsidRDefault="00940E4F" w:rsidP="00940E4F">
            <w:pPr>
              <w:rPr>
                <w:i/>
                <w:sz w:val="16"/>
                <w:szCs w:val="16"/>
              </w:rPr>
            </w:pPr>
            <w:r w:rsidRPr="00940E4F">
              <w:rPr>
                <w:i/>
                <w:sz w:val="16"/>
                <w:szCs w:val="16"/>
              </w:rPr>
              <w:t xml:space="preserve">Masters/PhD Presentation Day - all PhD and Research Masters students to present their draft research proposals </w:t>
            </w:r>
          </w:p>
        </w:tc>
        <w:tc>
          <w:tcPr>
            <w:tcW w:w="5500" w:type="dxa"/>
            <w:tcBorders>
              <w:bottom w:val="single" w:sz="4" w:space="0" w:color="548DD4" w:themeColor="text2" w:themeTint="99"/>
            </w:tcBorders>
            <w:shd w:val="clear" w:color="auto" w:fill="CCD5EA"/>
            <w:tcMar>
              <w:top w:w="72" w:type="dxa"/>
              <w:left w:w="144" w:type="dxa"/>
              <w:bottom w:w="72" w:type="dxa"/>
              <w:right w:w="144" w:type="dxa"/>
            </w:tcMar>
            <w:hideMark/>
          </w:tcPr>
          <w:p w14:paraId="6292EF9D" w14:textId="77777777" w:rsidR="00940E4F" w:rsidRPr="00940E4F" w:rsidRDefault="00940E4F" w:rsidP="00940E4F">
            <w:pPr>
              <w:rPr>
                <w:rFonts w:eastAsia="Times New Roman" w:cstheme="minorHAnsi"/>
                <w:b/>
                <w:bCs/>
                <w:color w:val="FF0000"/>
                <w:sz w:val="16"/>
                <w:szCs w:val="16"/>
                <w:lang w:val="en-GB" w:eastAsia="en-GB"/>
              </w:rPr>
            </w:pPr>
            <w:r w:rsidRPr="00940E4F">
              <w:rPr>
                <w:rFonts w:eastAsia="Times New Roman" w:cstheme="minorHAnsi"/>
                <w:b/>
                <w:bCs/>
                <w:color w:val="FF0000"/>
                <w:sz w:val="16"/>
                <w:szCs w:val="16"/>
                <w:lang w:val="en-GB" w:eastAsia="en-GB"/>
              </w:rPr>
              <w:t>(Due to Covid-19 all presentations for 2021 may be cancelled) – the department will send communication via email in this regard.</w:t>
            </w:r>
          </w:p>
          <w:p w14:paraId="39FF3659" w14:textId="77777777" w:rsidR="00940E4F" w:rsidRPr="00940E4F" w:rsidRDefault="00940E4F" w:rsidP="00940E4F">
            <w:pPr>
              <w:rPr>
                <w:rFonts w:cstheme="minorHAnsi"/>
                <w:b/>
                <w:sz w:val="16"/>
                <w:szCs w:val="16"/>
              </w:rPr>
            </w:pPr>
            <w:r w:rsidRPr="00940E4F">
              <w:rPr>
                <w:rFonts w:cstheme="minorHAnsi"/>
                <w:b/>
                <w:sz w:val="16"/>
                <w:szCs w:val="16"/>
                <w:lang w:val="en-GB" w:eastAsia="en-GB"/>
              </w:rPr>
              <w:t xml:space="preserve">Should we proceed with face-to-face or online presentations, the presentations will be scheduled as follows: </w:t>
            </w:r>
          </w:p>
          <w:p w14:paraId="0ED4C5C8" w14:textId="77777777" w:rsidR="00940E4F" w:rsidRPr="00940E4F" w:rsidRDefault="00940E4F" w:rsidP="00940E4F">
            <w:pPr>
              <w:rPr>
                <w:b/>
                <w:sz w:val="16"/>
                <w:szCs w:val="16"/>
              </w:rPr>
            </w:pPr>
            <w:r w:rsidRPr="00940E4F">
              <w:rPr>
                <w:b/>
                <w:sz w:val="16"/>
                <w:szCs w:val="16"/>
              </w:rPr>
              <w:t>27 May 2021</w:t>
            </w:r>
          </w:p>
          <w:p w14:paraId="13B44E25" w14:textId="77777777" w:rsidR="00940E4F" w:rsidRPr="00940E4F" w:rsidRDefault="00940E4F" w:rsidP="00940E4F">
            <w:pPr>
              <w:rPr>
                <w:b/>
                <w:sz w:val="16"/>
                <w:szCs w:val="16"/>
              </w:rPr>
            </w:pPr>
            <w:r w:rsidRPr="00940E4F">
              <w:rPr>
                <w:b/>
                <w:sz w:val="16"/>
                <w:szCs w:val="16"/>
              </w:rPr>
              <w:t>28 October 2021</w:t>
            </w:r>
          </w:p>
          <w:p w14:paraId="072695AC" w14:textId="77777777" w:rsidR="00940E4F" w:rsidRPr="00940E4F" w:rsidRDefault="00940E4F" w:rsidP="00940E4F">
            <w:pPr>
              <w:rPr>
                <w:b/>
                <w:sz w:val="16"/>
                <w:szCs w:val="16"/>
              </w:rPr>
            </w:pPr>
          </w:p>
        </w:tc>
      </w:tr>
      <w:tr w:rsidR="00940E4F" w:rsidRPr="00940E4F" w14:paraId="6AD09ED9" w14:textId="77777777" w:rsidTr="003570EF">
        <w:trPr>
          <w:trHeight w:val="505"/>
          <w:jc w:val="center"/>
        </w:trPr>
        <w:tc>
          <w:tcPr>
            <w:tcW w:w="4531" w:type="dxa"/>
            <w:shd w:val="clear" w:color="auto" w:fill="auto"/>
            <w:tcMar>
              <w:top w:w="72" w:type="dxa"/>
              <w:left w:w="144" w:type="dxa"/>
              <w:bottom w:w="72" w:type="dxa"/>
              <w:right w:w="144" w:type="dxa"/>
            </w:tcMar>
            <w:hideMark/>
          </w:tcPr>
          <w:p w14:paraId="70261B4A" w14:textId="77777777" w:rsidR="00940E4F" w:rsidRPr="00940E4F" w:rsidRDefault="00940E4F" w:rsidP="00940E4F">
            <w:pPr>
              <w:rPr>
                <w:b/>
                <w:sz w:val="16"/>
                <w:szCs w:val="16"/>
                <w:u w:val="single"/>
              </w:rPr>
            </w:pPr>
            <w:r w:rsidRPr="00940E4F">
              <w:rPr>
                <w:b/>
                <w:sz w:val="16"/>
                <w:szCs w:val="16"/>
                <w:u w:val="single"/>
              </w:rPr>
              <w:t>Finalisations:</w:t>
            </w:r>
          </w:p>
          <w:p w14:paraId="00F1DE4C" w14:textId="77777777" w:rsidR="00940E4F" w:rsidRPr="00940E4F" w:rsidRDefault="00940E4F" w:rsidP="00940E4F">
            <w:pPr>
              <w:rPr>
                <w:i/>
                <w:sz w:val="16"/>
                <w:szCs w:val="16"/>
              </w:rPr>
            </w:pPr>
            <w:r w:rsidRPr="00940E4F">
              <w:rPr>
                <w:i/>
                <w:sz w:val="16"/>
                <w:szCs w:val="16"/>
              </w:rPr>
              <w:t>All proposal topics to be finalised and supervisors to be confirmed by these times</w:t>
            </w:r>
          </w:p>
        </w:tc>
        <w:tc>
          <w:tcPr>
            <w:tcW w:w="5500" w:type="dxa"/>
            <w:shd w:val="clear" w:color="auto" w:fill="auto"/>
            <w:tcMar>
              <w:top w:w="72" w:type="dxa"/>
              <w:left w:w="144" w:type="dxa"/>
              <w:bottom w:w="72" w:type="dxa"/>
              <w:right w:w="144" w:type="dxa"/>
            </w:tcMar>
            <w:hideMark/>
          </w:tcPr>
          <w:p w14:paraId="59E9B930" w14:textId="77777777" w:rsidR="00940E4F" w:rsidRPr="00940E4F" w:rsidRDefault="00940E4F" w:rsidP="00940E4F">
            <w:pPr>
              <w:rPr>
                <w:sz w:val="16"/>
                <w:szCs w:val="16"/>
              </w:rPr>
            </w:pPr>
            <w:r w:rsidRPr="00940E4F">
              <w:rPr>
                <w:b/>
                <w:sz w:val="16"/>
                <w:szCs w:val="16"/>
              </w:rPr>
              <w:t>Honours:</w:t>
            </w:r>
            <w:r w:rsidRPr="00940E4F">
              <w:rPr>
                <w:sz w:val="16"/>
                <w:szCs w:val="16"/>
              </w:rPr>
              <w:t xml:space="preserve"> May 2021</w:t>
            </w:r>
          </w:p>
          <w:p w14:paraId="76724D63" w14:textId="77777777" w:rsidR="00940E4F" w:rsidRPr="00940E4F" w:rsidRDefault="00940E4F" w:rsidP="00940E4F">
            <w:pPr>
              <w:rPr>
                <w:sz w:val="16"/>
                <w:szCs w:val="16"/>
              </w:rPr>
            </w:pPr>
            <w:r w:rsidRPr="00940E4F">
              <w:rPr>
                <w:b/>
                <w:sz w:val="16"/>
                <w:szCs w:val="16"/>
              </w:rPr>
              <w:t>Masters:</w:t>
            </w:r>
            <w:r w:rsidRPr="00940E4F">
              <w:rPr>
                <w:sz w:val="16"/>
                <w:szCs w:val="16"/>
              </w:rPr>
              <w:t xml:space="preserve"> May 2021</w:t>
            </w:r>
          </w:p>
          <w:p w14:paraId="1A0FCA4D" w14:textId="77777777" w:rsidR="00940E4F" w:rsidRPr="00940E4F" w:rsidRDefault="00940E4F" w:rsidP="00940E4F">
            <w:pPr>
              <w:rPr>
                <w:sz w:val="16"/>
                <w:szCs w:val="16"/>
              </w:rPr>
            </w:pPr>
            <w:r w:rsidRPr="00940E4F">
              <w:rPr>
                <w:b/>
                <w:sz w:val="16"/>
                <w:szCs w:val="16"/>
              </w:rPr>
              <w:t>PhD:</w:t>
            </w:r>
            <w:r w:rsidRPr="00940E4F">
              <w:rPr>
                <w:sz w:val="16"/>
                <w:szCs w:val="16"/>
              </w:rPr>
              <w:t xml:space="preserve"> 6 months from registration date (dependant on when you registered)</w:t>
            </w:r>
          </w:p>
        </w:tc>
      </w:tr>
      <w:tr w:rsidR="00940E4F" w:rsidRPr="00940E4F" w14:paraId="4C2E4F5D" w14:textId="77777777" w:rsidTr="003570EF">
        <w:trPr>
          <w:trHeight w:val="1090"/>
          <w:jc w:val="center"/>
        </w:trPr>
        <w:tc>
          <w:tcPr>
            <w:tcW w:w="4531" w:type="dxa"/>
            <w:shd w:val="clear" w:color="auto" w:fill="auto"/>
            <w:tcMar>
              <w:top w:w="72" w:type="dxa"/>
              <w:left w:w="144" w:type="dxa"/>
              <w:bottom w:w="72" w:type="dxa"/>
              <w:right w:w="144" w:type="dxa"/>
            </w:tcMar>
          </w:tcPr>
          <w:p w14:paraId="606AD17B" w14:textId="77777777" w:rsidR="00940E4F" w:rsidRPr="00940E4F" w:rsidRDefault="00940E4F" w:rsidP="00940E4F">
            <w:pPr>
              <w:rPr>
                <w:b/>
                <w:sz w:val="16"/>
                <w:szCs w:val="16"/>
                <w:u w:val="single"/>
              </w:rPr>
            </w:pPr>
            <w:r w:rsidRPr="00940E4F">
              <w:rPr>
                <w:b/>
                <w:sz w:val="16"/>
                <w:szCs w:val="16"/>
                <w:u w:val="single"/>
              </w:rPr>
              <w:t>PG Masters &amp; PhD Proposals Screening</w:t>
            </w:r>
          </w:p>
          <w:p w14:paraId="7CF35630" w14:textId="77777777" w:rsidR="00940E4F" w:rsidRPr="00940E4F" w:rsidRDefault="00940E4F" w:rsidP="00940E4F">
            <w:pPr>
              <w:rPr>
                <w:b/>
                <w:i/>
                <w:sz w:val="16"/>
                <w:szCs w:val="16"/>
                <w:u w:val="single"/>
              </w:rPr>
            </w:pPr>
            <w:r w:rsidRPr="00940E4F">
              <w:rPr>
                <w:i/>
                <w:sz w:val="16"/>
                <w:szCs w:val="16"/>
              </w:rPr>
              <w:t xml:space="preserve">All proposals to be submitted to supervisors for review at least 2 weeks before the proposals are due at the Faculty </w:t>
            </w:r>
          </w:p>
        </w:tc>
        <w:tc>
          <w:tcPr>
            <w:tcW w:w="5500" w:type="dxa"/>
            <w:shd w:val="clear" w:color="auto" w:fill="auto"/>
            <w:tcMar>
              <w:top w:w="72" w:type="dxa"/>
              <w:left w:w="144" w:type="dxa"/>
              <w:bottom w:w="72" w:type="dxa"/>
              <w:right w:w="144" w:type="dxa"/>
            </w:tcMar>
          </w:tcPr>
          <w:p w14:paraId="1E3E6EF8" w14:textId="77777777" w:rsidR="00940E4F" w:rsidRPr="00940E4F" w:rsidRDefault="00940E4F" w:rsidP="00940E4F">
            <w:pPr>
              <w:rPr>
                <w:b/>
                <w:sz w:val="16"/>
                <w:szCs w:val="16"/>
              </w:rPr>
            </w:pPr>
            <w:r w:rsidRPr="00940E4F">
              <w:rPr>
                <w:b/>
                <w:sz w:val="16"/>
                <w:szCs w:val="16"/>
              </w:rPr>
              <w:t>Research Masters students</w:t>
            </w:r>
            <w:r w:rsidRPr="00940E4F">
              <w:rPr>
                <w:sz w:val="16"/>
                <w:szCs w:val="16"/>
              </w:rPr>
              <w:t xml:space="preserve"> are required to submit their final proposals to faculty office within </w:t>
            </w:r>
            <w:r w:rsidRPr="00940E4F">
              <w:rPr>
                <w:b/>
                <w:sz w:val="16"/>
                <w:szCs w:val="16"/>
              </w:rPr>
              <w:t>three months after registration.</w:t>
            </w:r>
          </w:p>
          <w:p w14:paraId="5C33D990" w14:textId="77777777" w:rsidR="00940E4F" w:rsidRPr="00940E4F" w:rsidRDefault="00940E4F" w:rsidP="00940E4F">
            <w:pPr>
              <w:rPr>
                <w:sz w:val="16"/>
                <w:szCs w:val="16"/>
                <w:highlight w:val="yellow"/>
              </w:rPr>
            </w:pPr>
            <w:r w:rsidRPr="00940E4F">
              <w:rPr>
                <w:b/>
                <w:sz w:val="16"/>
                <w:szCs w:val="16"/>
              </w:rPr>
              <w:t>PhD students</w:t>
            </w:r>
            <w:r w:rsidRPr="00940E4F">
              <w:rPr>
                <w:sz w:val="16"/>
                <w:szCs w:val="16"/>
              </w:rPr>
              <w:t xml:space="preserve"> are required to submit their final proposals to faculty office within </w:t>
            </w:r>
            <w:r w:rsidRPr="00940E4F">
              <w:rPr>
                <w:b/>
                <w:sz w:val="16"/>
                <w:szCs w:val="16"/>
              </w:rPr>
              <w:t>six months after registration.</w:t>
            </w:r>
          </w:p>
        </w:tc>
      </w:tr>
      <w:tr w:rsidR="00940E4F" w:rsidRPr="00940E4F" w14:paraId="47E6F3AF" w14:textId="77777777" w:rsidTr="003570EF">
        <w:trPr>
          <w:trHeight w:val="502"/>
          <w:jc w:val="center"/>
        </w:trPr>
        <w:tc>
          <w:tcPr>
            <w:tcW w:w="4531" w:type="dxa"/>
            <w:shd w:val="clear" w:color="auto" w:fill="CCD5EA"/>
            <w:tcMar>
              <w:top w:w="72" w:type="dxa"/>
              <w:left w:w="144" w:type="dxa"/>
              <w:bottom w:w="72" w:type="dxa"/>
              <w:right w:w="144" w:type="dxa"/>
            </w:tcMar>
            <w:hideMark/>
          </w:tcPr>
          <w:p w14:paraId="27A78BC3" w14:textId="77777777" w:rsidR="00940E4F" w:rsidRPr="00940E4F" w:rsidRDefault="00940E4F" w:rsidP="00940E4F">
            <w:pPr>
              <w:rPr>
                <w:b/>
                <w:sz w:val="16"/>
                <w:szCs w:val="16"/>
              </w:rPr>
            </w:pPr>
            <w:r w:rsidRPr="00940E4F">
              <w:rPr>
                <w:b/>
                <w:sz w:val="16"/>
                <w:szCs w:val="16"/>
              </w:rPr>
              <w:t xml:space="preserve">Honours Dissertation – Final Draft </w:t>
            </w:r>
          </w:p>
        </w:tc>
        <w:tc>
          <w:tcPr>
            <w:tcW w:w="5500" w:type="dxa"/>
            <w:shd w:val="clear" w:color="auto" w:fill="CCD5EA"/>
            <w:tcMar>
              <w:top w:w="72" w:type="dxa"/>
              <w:left w:w="144" w:type="dxa"/>
              <w:bottom w:w="72" w:type="dxa"/>
              <w:right w:w="144" w:type="dxa"/>
            </w:tcMar>
            <w:hideMark/>
          </w:tcPr>
          <w:p w14:paraId="61A97DAC" w14:textId="77777777" w:rsidR="00940E4F" w:rsidRPr="00940E4F" w:rsidRDefault="00940E4F" w:rsidP="00940E4F">
            <w:pPr>
              <w:rPr>
                <w:b/>
                <w:sz w:val="16"/>
                <w:szCs w:val="16"/>
              </w:rPr>
            </w:pPr>
            <w:r w:rsidRPr="00940E4F">
              <w:rPr>
                <w:b/>
                <w:sz w:val="16"/>
                <w:szCs w:val="16"/>
              </w:rPr>
              <w:t xml:space="preserve">Anytime during October but no later than </w:t>
            </w:r>
            <w:r w:rsidRPr="00940E4F">
              <w:rPr>
                <w:b/>
                <w:color w:val="FF0000"/>
                <w:sz w:val="16"/>
                <w:szCs w:val="16"/>
                <w:u w:val="single"/>
              </w:rPr>
              <w:t>15 October 2021</w:t>
            </w:r>
            <w:r w:rsidRPr="00940E4F">
              <w:rPr>
                <w:b/>
                <w:sz w:val="16"/>
                <w:szCs w:val="16"/>
              </w:rPr>
              <w:t xml:space="preserve"> </w:t>
            </w:r>
          </w:p>
          <w:p w14:paraId="3E47146A" w14:textId="77777777" w:rsidR="00940E4F" w:rsidRPr="00940E4F" w:rsidRDefault="00940E4F" w:rsidP="00940E4F">
            <w:pPr>
              <w:rPr>
                <w:sz w:val="16"/>
                <w:szCs w:val="16"/>
              </w:rPr>
            </w:pPr>
            <w:r w:rsidRPr="00940E4F">
              <w:rPr>
                <w:sz w:val="16"/>
                <w:szCs w:val="16"/>
              </w:rPr>
              <w:t xml:space="preserve">Please note that the earlier you submit your Final draft to your supervisor the better, as your </w:t>
            </w:r>
            <w:r w:rsidRPr="00940E4F">
              <w:rPr>
                <w:b/>
                <w:i/>
                <w:sz w:val="16"/>
                <w:szCs w:val="16"/>
              </w:rPr>
              <w:t xml:space="preserve">Supervisor will need time to review, mark and provide you with feedback so that you can update and finalise your thesis for the </w:t>
            </w:r>
            <w:r w:rsidRPr="00940E4F">
              <w:rPr>
                <w:b/>
                <w:i/>
                <w:color w:val="FF0000"/>
                <w:sz w:val="16"/>
                <w:szCs w:val="16"/>
                <w:u w:val="single"/>
              </w:rPr>
              <w:t>05</w:t>
            </w:r>
            <w:r w:rsidRPr="00940E4F">
              <w:rPr>
                <w:b/>
                <w:i/>
                <w:color w:val="FF0000"/>
                <w:sz w:val="16"/>
                <w:szCs w:val="16"/>
                <w:u w:val="single"/>
                <w:vertAlign w:val="superscript"/>
              </w:rPr>
              <w:t>th</w:t>
            </w:r>
            <w:r w:rsidRPr="00940E4F">
              <w:rPr>
                <w:b/>
                <w:i/>
                <w:color w:val="FF0000"/>
                <w:sz w:val="16"/>
                <w:szCs w:val="16"/>
                <w:u w:val="single"/>
              </w:rPr>
              <w:t xml:space="preserve"> of  November deadline</w:t>
            </w:r>
            <w:r w:rsidRPr="00940E4F">
              <w:rPr>
                <w:b/>
                <w:i/>
                <w:sz w:val="16"/>
                <w:szCs w:val="16"/>
              </w:rPr>
              <w:t xml:space="preserve"> </w:t>
            </w:r>
          </w:p>
        </w:tc>
      </w:tr>
      <w:tr w:rsidR="00940E4F" w:rsidRPr="00940E4F" w14:paraId="1FE69493" w14:textId="77777777" w:rsidTr="003570EF">
        <w:trPr>
          <w:trHeight w:val="414"/>
          <w:jc w:val="center"/>
        </w:trPr>
        <w:tc>
          <w:tcPr>
            <w:tcW w:w="4531" w:type="dxa"/>
            <w:shd w:val="clear" w:color="auto" w:fill="E7EBF5"/>
            <w:tcMar>
              <w:top w:w="72" w:type="dxa"/>
              <w:left w:w="144" w:type="dxa"/>
              <w:bottom w:w="72" w:type="dxa"/>
              <w:right w:w="144" w:type="dxa"/>
            </w:tcMar>
            <w:hideMark/>
          </w:tcPr>
          <w:p w14:paraId="021F5DDD" w14:textId="77777777" w:rsidR="00940E4F" w:rsidRPr="00940E4F" w:rsidRDefault="00940E4F" w:rsidP="00940E4F">
            <w:pPr>
              <w:rPr>
                <w:b/>
                <w:sz w:val="16"/>
                <w:szCs w:val="16"/>
              </w:rPr>
            </w:pPr>
            <w:r w:rsidRPr="00940E4F">
              <w:rPr>
                <w:b/>
                <w:sz w:val="16"/>
                <w:szCs w:val="16"/>
              </w:rPr>
              <w:t>Honours Dissertation – Final Submission</w:t>
            </w:r>
          </w:p>
          <w:p w14:paraId="0860A03C" w14:textId="77777777" w:rsidR="00940E4F" w:rsidRPr="00940E4F" w:rsidRDefault="00940E4F" w:rsidP="00940E4F">
            <w:pPr>
              <w:tabs>
                <w:tab w:val="left" w:pos="284"/>
                <w:tab w:val="left" w:pos="720"/>
                <w:tab w:val="left" w:pos="1800"/>
                <w:tab w:val="left" w:pos="2160"/>
              </w:tabs>
              <w:rPr>
                <w:i/>
                <w:sz w:val="16"/>
                <w:szCs w:val="16"/>
              </w:rPr>
            </w:pPr>
            <w:r w:rsidRPr="00940E4F">
              <w:rPr>
                <w:rFonts w:ascii="Calibri" w:eastAsia="Calibri" w:hAnsi="Calibri" w:cs="Times New Roman"/>
                <w:i/>
                <w:sz w:val="16"/>
                <w:szCs w:val="16"/>
              </w:rPr>
              <w:t xml:space="preserve">An Honours degree should be completed in one year (full-time). </w:t>
            </w:r>
          </w:p>
        </w:tc>
        <w:tc>
          <w:tcPr>
            <w:tcW w:w="5500" w:type="dxa"/>
            <w:shd w:val="clear" w:color="auto" w:fill="E7EBF5"/>
            <w:tcMar>
              <w:top w:w="72" w:type="dxa"/>
              <w:left w:w="144" w:type="dxa"/>
              <w:bottom w:w="72" w:type="dxa"/>
              <w:right w:w="144" w:type="dxa"/>
            </w:tcMar>
            <w:hideMark/>
          </w:tcPr>
          <w:p w14:paraId="7DEFD312" w14:textId="77777777" w:rsidR="00940E4F" w:rsidRPr="00940E4F" w:rsidRDefault="00940E4F" w:rsidP="00940E4F">
            <w:pPr>
              <w:rPr>
                <w:b/>
                <w:sz w:val="16"/>
                <w:szCs w:val="16"/>
              </w:rPr>
            </w:pPr>
            <w:r w:rsidRPr="00940E4F">
              <w:rPr>
                <w:b/>
                <w:color w:val="FF0000"/>
                <w:sz w:val="16"/>
                <w:szCs w:val="16"/>
              </w:rPr>
              <w:t xml:space="preserve">05 November 2021 </w:t>
            </w:r>
            <w:r w:rsidRPr="00940E4F">
              <w:rPr>
                <w:b/>
                <w:sz w:val="16"/>
                <w:szCs w:val="16"/>
              </w:rPr>
              <w:t>– Dissertation to be submitted to advisors for grading</w:t>
            </w:r>
          </w:p>
          <w:p w14:paraId="74814FFD" w14:textId="77777777" w:rsidR="00940E4F" w:rsidRPr="00940E4F" w:rsidRDefault="00940E4F" w:rsidP="00940E4F">
            <w:pPr>
              <w:rPr>
                <w:b/>
                <w:sz w:val="16"/>
                <w:szCs w:val="16"/>
              </w:rPr>
            </w:pPr>
            <w:r w:rsidRPr="00940E4F">
              <w:rPr>
                <w:b/>
                <w:color w:val="FF0000"/>
                <w:sz w:val="16"/>
                <w:szCs w:val="16"/>
              </w:rPr>
              <w:t xml:space="preserve">12 November 2021 </w:t>
            </w:r>
            <w:r w:rsidRPr="00940E4F">
              <w:rPr>
                <w:b/>
                <w:sz w:val="16"/>
                <w:szCs w:val="16"/>
              </w:rPr>
              <w:t>– Advisors to submit all dissertations and grades to Tasneem</w:t>
            </w:r>
          </w:p>
        </w:tc>
      </w:tr>
      <w:tr w:rsidR="00940E4F" w:rsidRPr="00940E4F" w14:paraId="3F91727B" w14:textId="77777777" w:rsidTr="003570EF">
        <w:trPr>
          <w:trHeight w:val="2470"/>
          <w:jc w:val="center"/>
        </w:trPr>
        <w:tc>
          <w:tcPr>
            <w:tcW w:w="4531" w:type="dxa"/>
            <w:shd w:val="clear" w:color="auto" w:fill="CCD5EA"/>
            <w:tcMar>
              <w:top w:w="72" w:type="dxa"/>
              <w:left w:w="144" w:type="dxa"/>
              <w:bottom w:w="72" w:type="dxa"/>
              <w:right w:w="144" w:type="dxa"/>
            </w:tcMar>
            <w:hideMark/>
          </w:tcPr>
          <w:p w14:paraId="6BDE8206" w14:textId="77777777" w:rsidR="00940E4F" w:rsidRPr="00940E4F" w:rsidRDefault="00940E4F" w:rsidP="00940E4F">
            <w:pPr>
              <w:rPr>
                <w:b/>
                <w:sz w:val="16"/>
                <w:szCs w:val="16"/>
              </w:rPr>
            </w:pPr>
            <w:r w:rsidRPr="00940E4F">
              <w:rPr>
                <w:b/>
                <w:sz w:val="16"/>
                <w:szCs w:val="16"/>
              </w:rPr>
              <w:t xml:space="preserve">Masters Dissertation </w:t>
            </w:r>
          </w:p>
          <w:p w14:paraId="522F09FA" w14:textId="77777777" w:rsidR="00940E4F" w:rsidRPr="00940E4F" w:rsidRDefault="00940E4F" w:rsidP="00940E4F">
            <w:pPr>
              <w:tabs>
                <w:tab w:val="left" w:pos="284"/>
                <w:tab w:val="left" w:pos="720"/>
                <w:tab w:val="left" w:pos="1800"/>
                <w:tab w:val="left" w:pos="2160"/>
              </w:tabs>
              <w:jc w:val="both"/>
              <w:rPr>
                <w:rFonts w:ascii="Calibri" w:eastAsia="Calibri" w:hAnsi="Calibri" w:cs="Times New Roman"/>
                <w:i/>
                <w:sz w:val="16"/>
                <w:szCs w:val="16"/>
              </w:rPr>
            </w:pPr>
            <w:r w:rsidRPr="00940E4F">
              <w:rPr>
                <w:rFonts w:ascii="Calibri" w:eastAsia="Calibri" w:hAnsi="Calibri" w:cs="Times New Roman"/>
                <w:i/>
                <w:sz w:val="16"/>
                <w:szCs w:val="16"/>
              </w:rPr>
              <w:t>It is expected that a Masters is completed in one or two years.  After 3 years, Masters students may have a 50% late surcharge penalty applied to your course fee.</w:t>
            </w:r>
          </w:p>
          <w:p w14:paraId="719EA7F0" w14:textId="77777777" w:rsidR="00940E4F" w:rsidRPr="00940E4F" w:rsidRDefault="00940E4F" w:rsidP="00940E4F">
            <w:pPr>
              <w:tabs>
                <w:tab w:val="left" w:pos="284"/>
                <w:tab w:val="left" w:pos="720"/>
                <w:tab w:val="left" w:pos="1800"/>
                <w:tab w:val="left" w:pos="2160"/>
              </w:tabs>
              <w:jc w:val="both"/>
              <w:rPr>
                <w:i/>
                <w:sz w:val="16"/>
                <w:szCs w:val="16"/>
              </w:rPr>
            </w:pPr>
          </w:p>
        </w:tc>
        <w:tc>
          <w:tcPr>
            <w:tcW w:w="5500" w:type="dxa"/>
            <w:shd w:val="clear" w:color="auto" w:fill="CCD5EA"/>
            <w:tcMar>
              <w:top w:w="72" w:type="dxa"/>
              <w:left w:w="144" w:type="dxa"/>
              <w:bottom w:w="72" w:type="dxa"/>
              <w:right w:w="144" w:type="dxa"/>
            </w:tcMar>
            <w:hideMark/>
          </w:tcPr>
          <w:p w14:paraId="6E9DA682" w14:textId="77777777" w:rsidR="00940E4F" w:rsidRPr="00940E4F" w:rsidRDefault="00940E4F" w:rsidP="00940E4F">
            <w:pPr>
              <w:rPr>
                <w:b/>
                <w:sz w:val="16"/>
                <w:szCs w:val="16"/>
              </w:rPr>
            </w:pPr>
            <w:r w:rsidRPr="00940E4F">
              <w:rPr>
                <w:b/>
                <w:sz w:val="16"/>
                <w:szCs w:val="16"/>
                <w:highlight w:val="yellow"/>
              </w:rPr>
              <w:t>Please consult the Faculty Office or Student Records for updated graduation details</w:t>
            </w:r>
          </w:p>
          <w:p w14:paraId="3109C10A" w14:textId="77777777" w:rsidR="00940E4F" w:rsidRPr="00940E4F" w:rsidRDefault="00940E4F" w:rsidP="00940E4F">
            <w:pPr>
              <w:rPr>
                <w:b/>
                <w:sz w:val="16"/>
                <w:szCs w:val="16"/>
              </w:rPr>
            </w:pPr>
            <w:r w:rsidRPr="00940E4F">
              <w:rPr>
                <w:b/>
                <w:sz w:val="16"/>
                <w:szCs w:val="16"/>
              </w:rPr>
              <w:t xml:space="preserve">The primary graduation season will fall in April, followed by a smaller session in December of the same year. This highlights the importance of adhering to closing dates, which will be enforced in all cases. Dissertation and thesis deadlines will be applied strictly as outlined below, with no exceptions made for late submissions. </w:t>
            </w:r>
          </w:p>
          <w:p w14:paraId="5E3F6131" w14:textId="77777777" w:rsidR="00940E4F" w:rsidRPr="00940E4F" w:rsidRDefault="00940E4F" w:rsidP="00940E4F">
            <w:pPr>
              <w:rPr>
                <w:b/>
                <w:sz w:val="16"/>
                <w:szCs w:val="16"/>
              </w:rPr>
            </w:pPr>
            <w:r w:rsidRPr="00940E4F">
              <w:rPr>
                <w:b/>
                <w:sz w:val="16"/>
                <w:szCs w:val="16"/>
              </w:rPr>
              <w:t>Deadlines for December graduation</w:t>
            </w:r>
          </w:p>
          <w:tbl>
            <w:tblPr>
              <w:tblStyle w:val="TableGrid3"/>
              <w:tblW w:w="0" w:type="auto"/>
              <w:tblLook w:val="04A0" w:firstRow="1" w:lastRow="0" w:firstColumn="1" w:lastColumn="0" w:noHBand="0" w:noVBand="1"/>
            </w:tblPr>
            <w:tblGrid>
              <w:gridCol w:w="2305"/>
              <w:gridCol w:w="2791"/>
            </w:tblGrid>
            <w:tr w:rsidR="00940E4F" w:rsidRPr="00940E4F" w14:paraId="6B0B1A60" w14:textId="77777777" w:rsidTr="003570EF">
              <w:tc>
                <w:tcPr>
                  <w:tcW w:w="2305" w:type="dxa"/>
                </w:tcPr>
                <w:p w14:paraId="4080765C" w14:textId="77777777" w:rsidR="00940E4F" w:rsidRPr="00940E4F" w:rsidRDefault="00940E4F" w:rsidP="00940E4F">
                  <w:pPr>
                    <w:rPr>
                      <w:b/>
                      <w:sz w:val="16"/>
                      <w:szCs w:val="16"/>
                    </w:rPr>
                  </w:pPr>
                  <w:r w:rsidRPr="00940E4F">
                    <w:rPr>
                      <w:b/>
                      <w:sz w:val="16"/>
                      <w:szCs w:val="16"/>
                    </w:rPr>
                    <w:t>Beginning of June</w:t>
                  </w:r>
                </w:p>
              </w:tc>
              <w:tc>
                <w:tcPr>
                  <w:tcW w:w="2791" w:type="dxa"/>
                </w:tcPr>
                <w:p w14:paraId="1B496DEF" w14:textId="77777777" w:rsidR="00940E4F" w:rsidRPr="00940E4F" w:rsidRDefault="00940E4F" w:rsidP="00940E4F">
                  <w:pPr>
                    <w:rPr>
                      <w:b/>
                      <w:sz w:val="16"/>
                      <w:szCs w:val="16"/>
                    </w:rPr>
                  </w:pPr>
                  <w:r w:rsidRPr="00940E4F">
                    <w:rPr>
                      <w:b/>
                      <w:sz w:val="16"/>
                      <w:szCs w:val="16"/>
                    </w:rPr>
                    <w:t xml:space="preserve">Submission of dissertation/thesis (to have been preceded by the intention to submit) at least 5 months before </w:t>
                  </w:r>
                  <w:r w:rsidRPr="00940E4F">
                    <w:rPr>
                      <w:b/>
                      <w:sz w:val="16"/>
                      <w:szCs w:val="16"/>
                    </w:rPr>
                    <w:lastRenderedPageBreak/>
                    <w:t>the deadline for qualification entry).  See GM16 and GP5.3</w:t>
                  </w:r>
                </w:p>
              </w:tc>
            </w:tr>
            <w:tr w:rsidR="00940E4F" w:rsidRPr="00940E4F" w14:paraId="7116D00F" w14:textId="77777777" w:rsidTr="003570EF">
              <w:tc>
                <w:tcPr>
                  <w:tcW w:w="2305" w:type="dxa"/>
                </w:tcPr>
                <w:p w14:paraId="23FFC9B1" w14:textId="77777777" w:rsidR="00940E4F" w:rsidRPr="00940E4F" w:rsidRDefault="00940E4F" w:rsidP="00940E4F">
                  <w:pPr>
                    <w:rPr>
                      <w:b/>
                      <w:sz w:val="16"/>
                      <w:szCs w:val="16"/>
                    </w:rPr>
                  </w:pPr>
                  <w:r w:rsidRPr="00940E4F">
                    <w:rPr>
                      <w:b/>
                      <w:sz w:val="16"/>
                      <w:szCs w:val="16"/>
                    </w:rPr>
                    <w:lastRenderedPageBreak/>
                    <w:t>31 October</w:t>
                  </w:r>
                </w:p>
              </w:tc>
              <w:tc>
                <w:tcPr>
                  <w:tcW w:w="2791" w:type="dxa"/>
                </w:tcPr>
                <w:p w14:paraId="26E945AC" w14:textId="77777777" w:rsidR="00940E4F" w:rsidRPr="00940E4F" w:rsidRDefault="00940E4F" w:rsidP="00940E4F">
                  <w:pPr>
                    <w:rPr>
                      <w:b/>
                      <w:sz w:val="16"/>
                      <w:szCs w:val="16"/>
                    </w:rPr>
                  </w:pPr>
                  <w:r w:rsidRPr="00940E4F">
                    <w:rPr>
                      <w:b/>
                      <w:sz w:val="16"/>
                      <w:szCs w:val="16"/>
                    </w:rPr>
                    <w:t xml:space="preserve">Final date for qualifier status to be on system.  See Senate approved academic calendar </w:t>
                  </w:r>
                </w:p>
                <w:p w14:paraId="5E229E11" w14:textId="77777777" w:rsidR="00940E4F" w:rsidRPr="00940E4F" w:rsidRDefault="00940E4F" w:rsidP="00940E4F">
                  <w:pPr>
                    <w:rPr>
                      <w:b/>
                      <w:sz w:val="16"/>
                      <w:szCs w:val="16"/>
                    </w:rPr>
                  </w:pPr>
                </w:p>
              </w:tc>
            </w:tr>
          </w:tbl>
          <w:p w14:paraId="1338C025" w14:textId="77777777" w:rsidR="00940E4F" w:rsidRPr="00940E4F" w:rsidRDefault="00940E4F" w:rsidP="00940E4F">
            <w:pPr>
              <w:rPr>
                <w:b/>
                <w:sz w:val="16"/>
                <w:szCs w:val="16"/>
              </w:rPr>
            </w:pPr>
            <w:r w:rsidRPr="00940E4F">
              <w:rPr>
                <w:b/>
                <w:sz w:val="16"/>
                <w:szCs w:val="16"/>
              </w:rPr>
              <w:t>Deadlines for April graduation</w:t>
            </w:r>
          </w:p>
          <w:tbl>
            <w:tblPr>
              <w:tblStyle w:val="TableGrid3"/>
              <w:tblW w:w="0" w:type="auto"/>
              <w:tblLook w:val="04A0" w:firstRow="1" w:lastRow="0" w:firstColumn="1" w:lastColumn="0" w:noHBand="0" w:noVBand="1"/>
            </w:tblPr>
            <w:tblGrid>
              <w:gridCol w:w="2601"/>
              <w:gridCol w:w="2601"/>
            </w:tblGrid>
            <w:tr w:rsidR="00940E4F" w:rsidRPr="00940E4F" w14:paraId="6873E7E4" w14:textId="77777777" w:rsidTr="003570EF">
              <w:tc>
                <w:tcPr>
                  <w:tcW w:w="2601" w:type="dxa"/>
                </w:tcPr>
                <w:p w14:paraId="0330061D" w14:textId="77777777" w:rsidR="00940E4F" w:rsidRPr="00940E4F" w:rsidRDefault="00940E4F" w:rsidP="00940E4F">
                  <w:pPr>
                    <w:rPr>
                      <w:b/>
                      <w:sz w:val="16"/>
                      <w:szCs w:val="16"/>
                    </w:rPr>
                  </w:pPr>
                  <w:r w:rsidRPr="00940E4F">
                    <w:rPr>
                      <w:b/>
                      <w:sz w:val="16"/>
                      <w:szCs w:val="16"/>
                    </w:rPr>
                    <w:t>1 September of previous year</w:t>
                  </w:r>
                </w:p>
              </w:tc>
              <w:tc>
                <w:tcPr>
                  <w:tcW w:w="2601" w:type="dxa"/>
                </w:tcPr>
                <w:p w14:paraId="646742A0" w14:textId="77777777" w:rsidR="00940E4F" w:rsidRPr="00940E4F" w:rsidRDefault="00940E4F" w:rsidP="00940E4F">
                  <w:pPr>
                    <w:rPr>
                      <w:b/>
                      <w:sz w:val="16"/>
                      <w:szCs w:val="16"/>
                    </w:rPr>
                  </w:pPr>
                  <w:r w:rsidRPr="00940E4F">
                    <w:rPr>
                      <w:b/>
                      <w:sz w:val="16"/>
                      <w:szCs w:val="16"/>
                    </w:rPr>
                    <w:t>Submission of dissertation/thesis (to have been preceded by the intention to submit) at least 5 months before the deadline for qualification entry. See GM16 and GP5.3</w:t>
                  </w:r>
                </w:p>
              </w:tc>
            </w:tr>
            <w:tr w:rsidR="00940E4F" w:rsidRPr="00940E4F" w14:paraId="1DCDBA96" w14:textId="77777777" w:rsidTr="003570EF">
              <w:tc>
                <w:tcPr>
                  <w:tcW w:w="2601" w:type="dxa"/>
                </w:tcPr>
                <w:p w14:paraId="4193F8A9" w14:textId="77777777" w:rsidR="00940E4F" w:rsidRPr="00940E4F" w:rsidRDefault="00940E4F" w:rsidP="00940E4F">
                  <w:pPr>
                    <w:rPr>
                      <w:b/>
                      <w:sz w:val="16"/>
                      <w:szCs w:val="16"/>
                    </w:rPr>
                  </w:pPr>
                  <w:r w:rsidRPr="00940E4F">
                    <w:rPr>
                      <w:b/>
                      <w:sz w:val="16"/>
                      <w:szCs w:val="16"/>
                    </w:rPr>
                    <w:t xml:space="preserve">1 February </w:t>
                  </w:r>
                </w:p>
                <w:p w14:paraId="64B73546" w14:textId="77777777" w:rsidR="00940E4F" w:rsidRPr="00940E4F" w:rsidRDefault="00940E4F" w:rsidP="00940E4F">
                  <w:pPr>
                    <w:rPr>
                      <w:b/>
                      <w:sz w:val="16"/>
                      <w:szCs w:val="16"/>
                    </w:rPr>
                  </w:pPr>
                </w:p>
              </w:tc>
              <w:tc>
                <w:tcPr>
                  <w:tcW w:w="2601" w:type="dxa"/>
                </w:tcPr>
                <w:p w14:paraId="63839C03" w14:textId="77777777" w:rsidR="00940E4F" w:rsidRPr="00940E4F" w:rsidRDefault="00940E4F" w:rsidP="00940E4F">
                  <w:pPr>
                    <w:rPr>
                      <w:b/>
                      <w:sz w:val="16"/>
                      <w:szCs w:val="16"/>
                    </w:rPr>
                  </w:pPr>
                  <w:r w:rsidRPr="00940E4F">
                    <w:rPr>
                      <w:b/>
                      <w:sz w:val="16"/>
                      <w:szCs w:val="16"/>
                    </w:rPr>
                    <w:t>Final date for qualifier status to be on system, after Faculty Examination Committees have met</w:t>
                  </w:r>
                </w:p>
                <w:p w14:paraId="4B051A46" w14:textId="77777777" w:rsidR="00940E4F" w:rsidRPr="00940E4F" w:rsidRDefault="00940E4F" w:rsidP="00940E4F">
                  <w:pPr>
                    <w:rPr>
                      <w:b/>
                      <w:sz w:val="16"/>
                      <w:szCs w:val="16"/>
                    </w:rPr>
                  </w:pPr>
                </w:p>
              </w:tc>
            </w:tr>
          </w:tbl>
          <w:p w14:paraId="787BC715" w14:textId="77777777" w:rsidR="00940E4F" w:rsidRPr="00940E4F" w:rsidRDefault="00940E4F" w:rsidP="00940E4F">
            <w:pPr>
              <w:rPr>
                <w:sz w:val="16"/>
                <w:szCs w:val="16"/>
              </w:rPr>
            </w:pPr>
            <w:r w:rsidRPr="00940E4F">
              <w:rPr>
                <w:b/>
                <w:sz w:val="16"/>
                <w:szCs w:val="16"/>
              </w:rPr>
              <w:tab/>
            </w:r>
          </w:p>
        </w:tc>
      </w:tr>
      <w:tr w:rsidR="00940E4F" w:rsidRPr="00940E4F" w14:paraId="6BEA168B" w14:textId="77777777" w:rsidTr="003570EF">
        <w:trPr>
          <w:trHeight w:val="820"/>
          <w:jc w:val="center"/>
        </w:trPr>
        <w:tc>
          <w:tcPr>
            <w:tcW w:w="4531" w:type="dxa"/>
            <w:shd w:val="clear" w:color="auto" w:fill="E7EBF5"/>
            <w:tcMar>
              <w:top w:w="72" w:type="dxa"/>
              <w:left w:w="144" w:type="dxa"/>
              <w:bottom w:w="72" w:type="dxa"/>
              <w:right w:w="144" w:type="dxa"/>
            </w:tcMar>
            <w:hideMark/>
          </w:tcPr>
          <w:p w14:paraId="49E1AA48" w14:textId="77777777" w:rsidR="00940E4F" w:rsidRPr="00940E4F" w:rsidRDefault="00940E4F" w:rsidP="00940E4F">
            <w:pPr>
              <w:rPr>
                <w:b/>
                <w:sz w:val="16"/>
                <w:szCs w:val="16"/>
              </w:rPr>
            </w:pPr>
            <w:r w:rsidRPr="00940E4F">
              <w:rPr>
                <w:b/>
                <w:sz w:val="16"/>
                <w:szCs w:val="16"/>
              </w:rPr>
              <w:lastRenderedPageBreak/>
              <w:t xml:space="preserve">PhD Thesis </w:t>
            </w:r>
          </w:p>
          <w:p w14:paraId="714E5E93" w14:textId="77777777" w:rsidR="00940E4F" w:rsidRPr="00940E4F" w:rsidRDefault="00940E4F" w:rsidP="00940E4F">
            <w:pPr>
              <w:rPr>
                <w:i/>
                <w:sz w:val="16"/>
                <w:szCs w:val="16"/>
              </w:rPr>
            </w:pPr>
            <w:r w:rsidRPr="00940E4F">
              <w:rPr>
                <w:rFonts w:ascii="Calibri" w:eastAsia="Calibri" w:hAnsi="Calibri" w:cs="Times New Roman"/>
                <w:i/>
                <w:sz w:val="16"/>
                <w:szCs w:val="16"/>
              </w:rPr>
              <w:t>It is expected that a PhD is completed in 4 years.  After 5 years, PhD students may have a 50% late surcharge penalty applied.</w:t>
            </w:r>
          </w:p>
        </w:tc>
        <w:tc>
          <w:tcPr>
            <w:tcW w:w="5500" w:type="dxa"/>
            <w:shd w:val="clear" w:color="auto" w:fill="E7EBF5"/>
            <w:tcMar>
              <w:top w:w="72" w:type="dxa"/>
              <w:left w:w="144" w:type="dxa"/>
              <w:bottom w:w="72" w:type="dxa"/>
              <w:right w:w="144" w:type="dxa"/>
            </w:tcMar>
            <w:hideMark/>
          </w:tcPr>
          <w:p w14:paraId="668F261C" w14:textId="77777777" w:rsidR="00940E4F" w:rsidRPr="00940E4F" w:rsidRDefault="00940E4F" w:rsidP="00940E4F">
            <w:pPr>
              <w:rPr>
                <w:b/>
                <w:sz w:val="16"/>
                <w:szCs w:val="16"/>
              </w:rPr>
            </w:pPr>
            <w:r w:rsidRPr="00940E4F">
              <w:rPr>
                <w:b/>
                <w:sz w:val="16"/>
                <w:szCs w:val="16"/>
              </w:rPr>
              <w:t>Deadline dates</w:t>
            </w:r>
          </w:p>
          <w:p w14:paraId="1CB5F1FE" w14:textId="77777777" w:rsidR="00940E4F" w:rsidRPr="00940E4F" w:rsidRDefault="00940E4F" w:rsidP="00940E4F">
            <w:pPr>
              <w:rPr>
                <w:sz w:val="16"/>
                <w:szCs w:val="16"/>
              </w:rPr>
            </w:pPr>
            <w:r w:rsidRPr="00940E4F">
              <w:rPr>
                <w:sz w:val="16"/>
                <w:szCs w:val="16"/>
              </w:rPr>
              <w:t>PhD candidates must upload their notice of intention to submit theses for examination on PeopleSoft at least 6 – 8 weeks before submission of their theses for examination.</w:t>
            </w:r>
          </w:p>
          <w:p w14:paraId="0B114D62" w14:textId="77777777" w:rsidR="00940E4F" w:rsidRPr="00940E4F" w:rsidRDefault="00940E4F" w:rsidP="00940E4F">
            <w:pPr>
              <w:rPr>
                <w:sz w:val="16"/>
                <w:szCs w:val="16"/>
              </w:rPr>
            </w:pPr>
            <w:r w:rsidRPr="00940E4F">
              <w:rPr>
                <w:sz w:val="16"/>
                <w:szCs w:val="16"/>
              </w:rPr>
              <w:t>PhD candidates must upload their theses for examination on PeopleSoft at least 5 months before the upcoming graduation ceremony to allow time for the examination process to run its course.</w:t>
            </w:r>
          </w:p>
          <w:p w14:paraId="31D24D3E" w14:textId="77777777" w:rsidR="00940E4F" w:rsidRPr="00940E4F" w:rsidRDefault="00940E4F" w:rsidP="00940E4F">
            <w:pPr>
              <w:rPr>
                <w:b/>
                <w:i/>
                <w:sz w:val="16"/>
                <w:szCs w:val="16"/>
              </w:rPr>
            </w:pPr>
            <w:r w:rsidRPr="00940E4F">
              <w:rPr>
                <w:b/>
                <w:i/>
                <w:sz w:val="16"/>
                <w:szCs w:val="16"/>
              </w:rPr>
              <w:t>2021 Graduation Ceremonies are scheduled for April and December 2021</w:t>
            </w:r>
          </w:p>
        </w:tc>
      </w:tr>
    </w:tbl>
    <w:p w14:paraId="73B10E05" w14:textId="77777777" w:rsidR="00F03F1A" w:rsidRPr="004E6C67" w:rsidRDefault="00F03F1A" w:rsidP="00940E4F">
      <w:pPr>
        <w:rPr>
          <w:b/>
          <w:sz w:val="16"/>
          <w:szCs w:val="16"/>
        </w:rPr>
      </w:pPr>
      <w:r w:rsidRPr="004E6C67">
        <w:rPr>
          <w:b/>
          <w:sz w:val="16"/>
          <w:szCs w:val="16"/>
        </w:rPr>
        <w:t xml:space="preserve">*Extensions will only be granted for medical reasons and a medical note would need to accompany the request. </w:t>
      </w:r>
      <w:bookmarkStart w:id="0" w:name="_GoBack"/>
      <w:bookmarkEnd w:id="0"/>
    </w:p>
    <w:sectPr w:rsidR="00F03F1A" w:rsidRPr="004E6C67" w:rsidSect="00F03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05B3B"/>
    <w:multiLevelType w:val="hybridMultilevel"/>
    <w:tmpl w:val="621413B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D8A1AB3"/>
    <w:multiLevelType w:val="hybridMultilevel"/>
    <w:tmpl w:val="496AF4E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00A7A2C"/>
    <w:multiLevelType w:val="hybridMultilevel"/>
    <w:tmpl w:val="5BCAD9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1A"/>
    <w:rsid w:val="00020024"/>
    <w:rsid w:val="00050F6B"/>
    <w:rsid w:val="0008195C"/>
    <w:rsid w:val="000B30A2"/>
    <w:rsid w:val="00113347"/>
    <w:rsid w:val="001865A2"/>
    <w:rsid w:val="001A31B7"/>
    <w:rsid w:val="001B2395"/>
    <w:rsid w:val="001D0AA2"/>
    <w:rsid w:val="001F3B1D"/>
    <w:rsid w:val="002031FF"/>
    <w:rsid w:val="00223D11"/>
    <w:rsid w:val="0023233E"/>
    <w:rsid w:val="00266344"/>
    <w:rsid w:val="002B7061"/>
    <w:rsid w:val="002C24E0"/>
    <w:rsid w:val="002E3151"/>
    <w:rsid w:val="00370CDC"/>
    <w:rsid w:val="003A3E53"/>
    <w:rsid w:val="003A74EB"/>
    <w:rsid w:val="003C4403"/>
    <w:rsid w:val="00454ADC"/>
    <w:rsid w:val="004B497B"/>
    <w:rsid w:val="004E04BD"/>
    <w:rsid w:val="004E6C67"/>
    <w:rsid w:val="005067F7"/>
    <w:rsid w:val="00516301"/>
    <w:rsid w:val="00525CCB"/>
    <w:rsid w:val="0053073D"/>
    <w:rsid w:val="005536CE"/>
    <w:rsid w:val="00583289"/>
    <w:rsid w:val="005D4A40"/>
    <w:rsid w:val="00615F2B"/>
    <w:rsid w:val="00622D19"/>
    <w:rsid w:val="00667B05"/>
    <w:rsid w:val="00670B9F"/>
    <w:rsid w:val="006748AF"/>
    <w:rsid w:val="00683ACA"/>
    <w:rsid w:val="006870E3"/>
    <w:rsid w:val="006B1517"/>
    <w:rsid w:val="006D4359"/>
    <w:rsid w:val="006F7B41"/>
    <w:rsid w:val="007206CD"/>
    <w:rsid w:val="007A3BD1"/>
    <w:rsid w:val="007A6269"/>
    <w:rsid w:val="007A7142"/>
    <w:rsid w:val="008209F7"/>
    <w:rsid w:val="00846AAF"/>
    <w:rsid w:val="00863A90"/>
    <w:rsid w:val="008C2ABF"/>
    <w:rsid w:val="008E4CA9"/>
    <w:rsid w:val="00940E4F"/>
    <w:rsid w:val="009A1176"/>
    <w:rsid w:val="009A3057"/>
    <w:rsid w:val="00A06718"/>
    <w:rsid w:val="00A163A9"/>
    <w:rsid w:val="00A27E4E"/>
    <w:rsid w:val="00A36E39"/>
    <w:rsid w:val="00A906AF"/>
    <w:rsid w:val="00AA62F6"/>
    <w:rsid w:val="00AD5377"/>
    <w:rsid w:val="00AD6F5D"/>
    <w:rsid w:val="00AF795E"/>
    <w:rsid w:val="00AF7C4E"/>
    <w:rsid w:val="00B00383"/>
    <w:rsid w:val="00B07E81"/>
    <w:rsid w:val="00B169BE"/>
    <w:rsid w:val="00B21098"/>
    <w:rsid w:val="00B55925"/>
    <w:rsid w:val="00B6774E"/>
    <w:rsid w:val="00B70224"/>
    <w:rsid w:val="00B914C7"/>
    <w:rsid w:val="00BC3595"/>
    <w:rsid w:val="00C43232"/>
    <w:rsid w:val="00C51F8F"/>
    <w:rsid w:val="00C55B09"/>
    <w:rsid w:val="00C55E5B"/>
    <w:rsid w:val="00C56F08"/>
    <w:rsid w:val="00CA1EB3"/>
    <w:rsid w:val="00CA25D6"/>
    <w:rsid w:val="00CA2982"/>
    <w:rsid w:val="00CB1423"/>
    <w:rsid w:val="00CB7D53"/>
    <w:rsid w:val="00CE2E48"/>
    <w:rsid w:val="00D23536"/>
    <w:rsid w:val="00D4742A"/>
    <w:rsid w:val="00D602B3"/>
    <w:rsid w:val="00D73838"/>
    <w:rsid w:val="00D73CE2"/>
    <w:rsid w:val="00D74B72"/>
    <w:rsid w:val="00D95B47"/>
    <w:rsid w:val="00DC721D"/>
    <w:rsid w:val="00E0383F"/>
    <w:rsid w:val="00E4475D"/>
    <w:rsid w:val="00E55CC8"/>
    <w:rsid w:val="00E624E0"/>
    <w:rsid w:val="00E67F00"/>
    <w:rsid w:val="00E86FF3"/>
    <w:rsid w:val="00EB05DA"/>
    <w:rsid w:val="00EB6810"/>
    <w:rsid w:val="00EC2765"/>
    <w:rsid w:val="00F03F1A"/>
    <w:rsid w:val="00FC49BA"/>
    <w:rsid w:val="00FD1C82"/>
    <w:rsid w:val="00FF31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C23A"/>
  <w15:docId w15:val="{F2C1A3AC-4F43-4A23-987A-CF5321EB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F1A"/>
    <w:rPr>
      <w:rFonts w:ascii="Tahoma" w:hAnsi="Tahoma" w:cs="Tahoma"/>
      <w:sz w:val="16"/>
      <w:szCs w:val="16"/>
    </w:rPr>
  </w:style>
  <w:style w:type="paragraph" w:styleId="BodyText2">
    <w:name w:val="Body Text 2"/>
    <w:basedOn w:val="Normal"/>
    <w:link w:val="BodyText2Char"/>
    <w:rsid w:val="00223D11"/>
    <w:pPr>
      <w:spacing w:after="0" w:line="240" w:lineRule="auto"/>
      <w:jc w:val="both"/>
    </w:pPr>
    <w:rPr>
      <w:rFonts w:ascii="Comic Sans MS" w:eastAsia="Times New Roman" w:hAnsi="Comic Sans MS" w:cs="Times New Roman"/>
      <w:b/>
      <w:sz w:val="20"/>
      <w:szCs w:val="20"/>
      <w:lang w:val="en-GB"/>
    </w:rPr>
  </w:style>
  <w:style w:type="character" w:customStyle="1" w:styleId="BodyText2Char">
    <w:name w:val="Body Text 2 Char"/>
    <w:basedOn w:val="DefaultParagraphFont"/>
    <w:link w:val="BodyText2"/>
    <w:rsid w:val="00223D11"/>
    <w:rPr>
      <w:rFonts w:ascii="Comic Sans MS" w:eastAsia="Times New Roman" w:hAnsi="Comic Sans MS" w:cs="Times New Roman"/>
      <w:b/>
      <w:sz w:val="20"/>
      <w:szCs w:val="20"/>
      <w:lang w:val="en-GB"/>
    </w:rPr>
  </w:style>
  <w:style w:type="paragraph" w:styleId="ListParagraph">
    <w:name w:val="List Paragraph"/>
    <w:basedOn w:val="Normal"/>
    <w:uiPriority w:val="34"/>
    <w:qFormat/>
    <w:rsid w:val="005536CE"/>
    <w:pPr>
      <w:ind w:left="720"/>
      <w:contextualSpacing/>
    </w:pPr>
  </w:style>
  <w:style w:type="character" w:styleId="Hyperlink">
    <w:name w:val="Hyperlink"/>
    <w:basedOn w:val="DefaultParagraphFont"/>
    <w:uiPriority w:val="99"/>
    <w:unhideWhenUsed/>
    <w:rsid w:val="0023233E"/>
    <w:rPr>
      <w:color w:val="0000FF"/>
      <w:u w:val="single"/>
    </w:rPr>
  </w:style>
  <w:style w:type="table" w:styleId="TableGrid">
    <w:name w:val="Table Grid"/>
    <w:basedOn w:val="TableNormal"/>
    <w:uiPriority w:val="59"/>
    <w:rsid w:val="00525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4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0437">
      <w:bodyDiv w:val="1"/>
      <w:marLeft w:val="0"/>
      <w:marRight w:val="0"/>
      <w:marTop w:val="0"/>
      <w:marBottom w:val="0"/>
      <w:divBdr>
        <w:top w:val="none" w:sz="0" w:space="0" w:color="auto"/>
        <w:left w:val="none" w:sz="0" w:space="0" w:color="auto"/>
        <w:bottom w:val="none" w:sz="0" w:space="0" w:color="auto"/>
        <w:right w:val="none" w:sz="0" w:space="0" w:color="auto"/>
      </w:divBdr>
    </w:div>
    <w:div w:id="253125482">
      <w:bodyDiv w:val="1"/>
      <w:marLeft w:val="0"/>
      <w:marRight w:val="0"/>
      <w:marTop w:val="0"/>
      <w:marBottom w:val="0"/>
      <w:divBdr>
        <w:top w:val="none" w:sz="0" w:space="0" w:color="auto"/>
        <w:left w:val="none" w:sz="0" w:space="0" w:color="auto"/>
        <w:bottom w:val="none" w:sz="0" w:space="0" w:color="auto"/>
        <w:right w:val="none" w:sz="0" w:space="0" w:color="auto"/>
      </w:divBdr>
    </w:div>
    <w:div w:id="859314374">
      <w:bodyDiv w:val="1"/>
      <w:marLeft w:val="0"/>
      <w:marRight w:val="0"/>
      <w:marTop w:val="0"/>
      <w:marBottom w:val="0"/>
      <w:divBdr>
        <w:top w:val="none" w:sz="0" w:space="0" w:color="auto"/>
        <w:left w:val="none" w:sz="0" w:space="0" w:color="auto"/>
        <w:bottom w:val="none" w:sz="0" w:space="0" w:color="auto"/>
        <w:right w:val="none" w:sz="0" w:space="0" w:color="auto"/>
      </w:divBdr>
    </w:div>
    <w:div w:id="1027099156">
      <w:bodyDiv w:val="1"/>
      <w:marLeft w:val="0"/>
      <w:marRight w:val="0"/>
      <w:marTop w:val="0"/>
      <w:marBottom w:val="0"/>
      <w:divBdr>
        <w:top w:val="none" w:sz="0" w:space="0" w:color="auto"/>
        <w:left w:val="none" w:sz="0" w:space="0" w:color="auto"/>
        <w:bottom w:val="none" w:sz="0" w:space="0" w:color="auto"/>
        <w:right w:val="none" w:sz="0" w:space="0" w:color="auto"/>
      </w:divBdr>
    </w:div>
    <w:div w:id="1258903250">
      <w:bodyDiv w:val="1"/>
      <w:marLeft w:val="0"/>
      <w:marRight w:val="0"/>
      <w:marTop w:val="0"/>
      <w:marBottom w:val="0"/>
      <w:divBdr>
        <w:top w:val="none" w:sz="0" w:space="0" w:color="auto"/>
        <w:left w:val="none" w:sz="0" w:space="0" w:color="auto"/>
        <w:bottom w:val="none" w:sz="0" w:space="0" w:color="auto"/>
        <w:right w:val="none" w:sz="0" w:space="0" w:color="auto"/>
      </w:divBdr>
    </w:div>
    <w:div w:id="1501627457">
      <w:bodyDiv w:val="1"/>
      <w:marLeft w:val="0"/>
      <w:marRight w:val="0"/>
      <w:marTop w:val="0"/>
      <w:marBottom w:val="0"/>
      <w:divBdr>
        <w:top w:val="none" w:sz="0" w:space="0" w:color="auto"/>
        <w:left w:val="none" w:sz="0" w:space="0" w:color="auto"/>
        <w:bottom w:val="none" w:sz="0" w:space="0" w:color="auto"/>
        <w:right w:val="none" w:sz="0" w:space="0" w:color="auto"/>
      </w:divBdr>
    </w:div>
    <w:div w:id="1504666835">
      <w:bodyDiv w:val="1"/>
      <w:marLeft w:val="0"/>
      <w:marRight w:val="0"/>
      <w:marTop w:val="0"/>
      <w:marBottom w:val="0"/>
      <w:divBdr>
        <w:top w:val="none" w:sz="0" w:space="0" w:color="auto"/>
        <w:left w:val="none" w:sz="0" w:space="0" w:color="auto"/>
        <w:bottom w:val="none" w:sz="0" w:space="0" w:color="auto"/>
        <w:right w:val="none" w:sz="0" w:space="0" w:color="auto"/>
      </w:divBdr>
    </w:div>
    <w:div w:id="1563827940">
      <w:bodyDiv w:val="1"/>
      <w:marLeft w:val="0"/>
      <w:marRight w:val="0"/>
      <w:marTop w:val="0"/>
      <w:marBottom w:val="0"/>
      <w:divBdr>
        <w:top w:val="none" w:sz="0" w:space="0" w:color="auto"/>
        <w:left w:val="none" w:sz="0" w:space="0" w:color="auto"/>
        <w:bottom w:val="none" w:sz="0" w:space="0" w:color="auto"/>
        <w:right w:val="none" w:sz="0" w:space="0" w:color="auto"/>
      </w:divBdr>
    </w:div>
    <w:div w:id="1596471834">
      <w:bodyDiv w:val="1"/>
      <w:marLeft w:val="0"/>
      <w:marRight w:val="0"/>
      <w:marTop w:val="0"/>
      <w:marBottom w:val="0"/>
      <w:divBdr>
        <w:top w:val="none" w:sz="0" w:space="0" w:color="auto"/>
        <w:left w:val="none" w:sz="0" w:space="0" w:color="auto"/>
        <w:bottom w:val="none" w:sz="0" w:space="0" w:color="auto"/>
        <w:right w:val="none" w:sz="0" w:space="0" w:color="auto"/>
      </w:divBdr>
    </w:div>
    <w:div w:id="1798335245">
      <w:bodyDiv w:val="1"/>
      <w:marLeft w:val="0"/>
      <w:marRight w:val="0"/>
      <w:marTop w:val="0"/>
      <w:marBottom w:val="0"/>
      <w:divBdr>
        <w:top w:val="none" w:sz="0" w:space="0" w:color="auto"/>
        <w:left w:val="none" w:sz="0" w:space="0" w:color="auto"/>
        <w:bottom w:val="none" w:sz="0" w:space="0" w:color="auto"/>
        <w:right w:val="none" w:sz="0" w:space="0" w:color="auto"/>
      </w:divBdr>
    </w:div>
    <w:div w:id="2043092589">
      <w:bodyDiv w:val="1"/>
      <w:marLeft w:val="0"/>
      <w:marRight w:val="0"/>
      <w:marTop w:val="0"/>
      <w:marBottom w:val="0"/>
      <w:divBdr>
        <w:top w:val="none" w:sz="0" w:space="0" w:color="auto"/>
        <w:left w:val="none" w:sz="0" w:space="0" w:color="auto"/>
        <w:bottom w:val="none" w:sz="0" w:space="0" w:color="auto"/>
        <w:right w:val="none" w:sz="0" w:space="0" w:color="auto"/>
      </w:divBdr>
    </w:div>
    <w:div w:id="2117283525">
      <w:bodyDiv w:val="1"/>
      <w:marLeft w:val="0"/>
      <w:marRight w:val="0"/>
      <w:marTop w:val="0"/>
      <w:marBottom w:val="0"/>
      <w:divBdr>
        <w:top w:val="none" w:sz="0" w:space="0" w:color="auto"/>
        <w:left w:val="none" w:sz="0" w:space="0" w:color="auto"/>
        <w:bottom w:val="none" w:sz="0" w:space="0" w:color="auto"/>
        <w:right w:val="none" w:sz="0" w:space="0" w:color="auto"/>
      </w:divBdr>
    </w:div>
    <w:div w:id="21401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Win User</dc:creator>
  <cp:lastModifiedBy>Tasneem Wise</cp:lastModifiedBy>
  <cp:revision>3</cp:revision>
  <cp:lastPrinted>2013-03-12T08:15:00Z</cp:lastPrinted>
  <dcterms:created xsi:type="dcterms:W3CDTF">2020-12-03T14:12:00Z</dcterms:created>
  <dcterms:modified xsi:type="dcterms:W3CDTF">2020-12-03T14:14:00Z</dcterms:modified>
</cp:coreProperties>
</file>